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788" w:type="dxa"/>
        <w:tblInd w:w="-22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935"/>
        <w:gridCol w:w="811"/>
        <w:gridCol w:w="1093"/>
        <w:gridCol w:w="835"/>
        <w:gridCol w:w="836"/>
        <w:gridCol w:w="755"/>
        <w:gridCol w:w="887"/>
        <w:gridCol w:w="863"/>
        <w:gridCol w:w="899"/>
        <w:gridCol w:w="875"/>
        <w:gridCol w:w="886"/>
        <w:gridCol w:w="911"/>
        <w:gridCol w:w="922"/>
        <w:gridCol w:w="899"/>
        <w:gridCol w:w="886"/>
        <w:gridCol w:w="222"/>
        <w:gridCol w:w="16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788" w:type="dxa"/>
            <w:gridSpan w:val="18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附件2：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塔吊、施工电梯报价单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5788" w:type="dxa"/>
            <w:gridSpan w:val="18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904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承租单位：冕宁县城投建设有限责任公司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臂长（m）</w:t>
            </w:r>
          </w:p>
        </w:tc>
        <w:tc>
          <w:tcPr>
            <w:tcW w:w="10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塔吊高度/施工电梯有效高度（m）</w:t>
            </w:r>
          </w:p>
        </w:tc>
        <w:tc>
          <w:tcPr>
            <w:tcW w:w="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塔吊独立高度（m）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吊重量（t）</w:t>
            </w:r>
          </w:p>
        </w:tc>
        <w:tc>
          <w:tcPr>
            <w:tcW w:w="78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8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增值税专用发票费率（%）</w:t>
            </w:r>
          </w:p>
        </w:tc>
        <w:tc>
          <w:tcPr>
            <w:tcW w:w="185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租赁（元/月）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进退场费（元/台）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标节费（元/节/月）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塔机操作手（元/月）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司索工（元/月）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施工电梯司机（元/月）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附着费用6m以内（元/道）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附着费用超6m以外（元/道/m）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加班费用（元/小时）</w:t>
            </w:r>
          </w:p>
        </w:tc>
        <w:tc>
          <w:tcPr>
            <w:tcW w:w="8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6013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1.3-6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机械配套运行的其它设备外出租方需配备：风向仪、红色灯带、防坠器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5013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1.3-6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SC200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51.1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机械配套运行的其它设备外出租方需配备：硬质金属防护门、施工电梯电缆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SC200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54.1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SC200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51.4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 w:hRule="atLeast"/>
        </w:trPr>
        <w:tc>
          <w:tcPr>
            <w:tcW w:w="15788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现场司机和指挥人住宿、吃饭等生活问题出租方自行解决,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机械相关人员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上班时间为7:00-12:00，13:00-18：00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（承租方可以在总时长不变的情况下调整上、下班时间）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超出总时长时间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按加班时间计算;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2、出租方需安排一名专职安全员到现场管理上述五台机械，并按照国家规范、行业标准等要求进行日、周、月、季度、年度检查记录维护工作；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3、不足一月的机械、人员费用按照该机械、该人员的月金额/30天的形式进行计算；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机械安、升、拆的费用、工作由出租单位负责，机械相关的调试、检测、手续等由出租方负责办理（承租方提供必要的资料）直至机械能正常使用后开始计租赁费用，安装、爬升、拆除时间、高度以承租方通知要求为准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5、出租方人员需配合承租方悬挂相应的宣传标语；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6、塔吊出厂年限不超过8年品牌为中联、徐工机械；施工电梯SC系列（齿轮齿条式）出场年限不超5年品牌为中联、徐工、特威机械。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7、机械租赁费包含：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机械设备折旧费；地锚、预埋件、附着设施费（如有）；安全检测费、备案费；安装拆卸费；修理、维护保养费；合理租赁利润；等费用。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、未提及的事项严格按照国家规范、行业标准等相关规范执行。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出租单位：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日期：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sectPr>
          <w:pgSz w:w="16838" w:h="11906" w:orient="landscape"/>
          <w:pgMar w:top="720" w:right="720" w:bottom="720" w:left="720" w:header="851" w:footer="992" w:gutter="0"/>
          <w:cols w:space="720" w:num="1"/>
          <w:docGrid w:type="linesAndChar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E6EA73"/>
    <w:multiLevelType w:val="singleLevel"/>
    <w:tmpl w:val="ACE6EA7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OWE1ZGIwYmFhMjlkODIwNThmNGJhZjk1YTVkZGYifQ=="/>
  </w:docVars>
  <w:rsids>
    <w:rsidRoot w:val="00000000"/>
    <w:rsid w:val="0B5F6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pBdr>
        <w:bottom w:val="single" w:color="B8CCE4" w:sz="4" w:space="2"/>
      </w:pBdr>
      <w:spacing w:before="200" w:after="80"/>
      <w:ind w:firstLine="0"/>
      <w:outlineLvl w:val="3"/>
    </w:pPr>
    <w:rPr>
      <w:rFonts w:ascii="Cambria" w:hAnsi="Cambria" w:eastAsia="宋体" w:cs="Times New Roman"/>
      <w:i/>
      <w:iCs/>
      <w:color w:val="4F81BD"/>
      <w:sz w:val="24"/>
      <w:szCs w:val="2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2023-04-03T10:45:44Z</dcterms:created>
  <dc:creator>43833</dc:creator>
  <cp:lastModifiedBy>admin</cp:lastModifiedBy>
  <dcterms:modified xsi:type="dcterms:W3CDTF">2023-04-03T10:45:58Z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A8E5CEF0FA3C48A2B4FB14ED41F5047D_12</vt:lpwstr>
  </property>
</Properties>
</file>