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附件2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600" w:firstLineChars="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冕宁县水稻三产融合发展示范园创建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州级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现代农（林)业园区申报材料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编制报价表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冕宁县谷丰农业</w:t>
      </w:r>
      <w:r>
        <w:rPr>
          <w:rFonts w:hint="eastAsia" w:ascii="仿宋_GB2312" w:hAnsi="仿宋_GB2312" w:eastAsia="仿宋_GB2312" w:cs="仿宋_GB2312"/>
          <w:sz w:val="32"/>
          <w:szCs w:val="32"/>
        </w:rPr>
        <w:t>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XXX公司已知悉贵公司关于冕宁县水稻三产融合发展示范园创建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2023年度</w:t>
      </w:r>
      <w:r>
        <w:rPr>
          <w:rFonts w:hint="eastAsia" w:ascii="仿宋_GB2312" w:hAnsi="仿宋_GB2312" w:eastAsia="仿宋_GB2312" w:cs="仿宋_GB2312"/>
          <w:sz w:val="32"/>
          <w:szCs w:val="32"/>
        </w:rPr>
        <w:t>州级现代农（林)业园区申报材料编制招标的公告，本公司报价为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元整（包含但不限于为完成本项目所产生的所有人工成本、利润、税费、交通费等费用。）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1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680" w:firstLineChars="24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0" w:firstLineChars="23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00000000"/>
    <w:rsid w:val="2CAD22EA"/>
    <w:rsid w:val="49752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3">
    <w:name w:val="Plain Text"/>
    <w:basedOn w:val="1"/>
    <w:next w:val="1"/>
    <w:unhideWhenUsed/>
    <w:qFormat/>
    <w:uiPriority w:val="99"/>
    <w:rPr>
      <w:rFonts w:ascii="宋体" w:hAnsi="Courier New" w:cs="Courier New"/>
      <w:szCs w:val="21"/>
    </w:rPr>
  </w:style>
  <w:style w:type="paragraph" w:styleId="4">
    <w:name w:val="Body Text First Indent"/>
    <w:basedOn w:val="2"/>
    <w:next w:val="3"/>
    <w:qFormat/>
    <w:uiPriority w:val="0"/>
    <w:pPr>
      <w:ind w:firstLine="420" w:firstLineChars="100"/>
    </w:pPr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2023-12-08T08:28:10Z</dcterms:created>
  <dc:creator>Administrator</dc:creator>
  <cp:lastModifiedBy>微信用户</cp:lastModifiedBy>
  <dcterms:modified xsi:type="dcterms:W3CDTF">2023-12-08T08:28:20Z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4D392F2E10AB4CEA82C7C6D5AE8C6065_12</vt:lpwstr>
  </property>
</Properties>
</file>