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仿宋_GB2312" w:hAnsi="仿宋_GB2312" w:eastAsia="方正小标宋简体" w:cs="宋体"/>
          <w:color w:val="000000" w:themeColor="text1"/>
          <w:kern w:val="0"/>
          <w:sz w:val="32"/>
          <w:szCs w:val="32"/>
          <w14:textFill>
            <w14:solidFill>
              <w14:schemeClr w14:val="tx1"/>
            </w14:solidFill>
          </w14:textFill>
        </w:rPr>
      </w:pPr>
      <w:r>
        <w:rPr>
          <w:rFonts w:hint="eastAsia" w:ascii="仿宋_GB2312" w:hAnsi="仿宋_GB2312" w:eastAsia="方正小标宋简体" w:cs="方正小标宋简体"/>
          <w:color w:val="000000" w:themeColor="text1"/>
          <w:kern w:val="0"/>
          <w:sz w:val="32"/>
          <w:szCs w:val="32"/>
          <w14:textFill>
            <w14:solidFill>
              <w14:schemeClr w14:val="tx1"/>
            </w14:solidFill>
          </w14:textFill>
        </w:rPr>
        <w:t>冕宁县投资发展有限责任公司油橄榄基地及食用菌产业园屋棚顶综合开发项目应邀合作开发企业评分表</w:t>
      </w:r>
    </w:p>
    <w:tbl>
      <w:tblPr>
        <w:tblStyle w:val="2"/>
        <w:tblpPr w:leftFromText="180" w:rightFromText="180" w:vertAnchor="text" w:horzAnchor="page" w:tblpXSpec="center" w:tblpY="569"/>
        <w:tblOverlap w:val="never"/>
        <w:tblW w:w="8780" w:type="dxa"/>
        <w:tblInd w:w="0" w:type="dxa"/>
        <w:tblLayout w:type="autofit"/>
        <w:tblCellMar>
          <w:top w:w="0" w:type="dxa"/>
          <w:left w:w="108" w:type="dxa"/>
          <w:bottom w:w="0" w:type="dxa"/>
          <w:right w:w="108" w:type="dxa"/>
        </w:tblCellMar>
      </w:tblPr>
      <w:tblGrid>
        <w:gridCol w:w="585"/>
        <w:gridCol w:w="1333"/>
        <w:gridCol w:w="1843"/>
        <w:gridCol w:w="3554"/>
        <w:gridCol w:w="837"/>
        <w:gridCol w:w="628"/>
      </w:tblGrid>
      <w:tr>
        <w:tblPrEx>
          <w:tblCellMar>
            <w:top w:w="0" w:type="dxa"/>
            <w:left w:w="108" w:type="dxa"/>
            <w:bottom w:w="0" w:type="dxa"/>
            <w:right w:w="108" w:type="dxa"/>
          </w:tblCellMar>
        </w:tblPrEx>
        <w:trPr>
          <w:trHeight w:val="407" w:hRule="atLeast"/>
        </w:trPr>
        <w:tc>
          <w:tcPr>
            <w:tcW w:w="585" w:type="dxa"/>
            <w:tcBorders>
              <w:top w:val="single" w:color="auto" w:sz="8" w:space="0"/>
              <w:left w:val="single" w:color="auto" w:sz="12" w:space="0"/>
              <w:bottom w:val="single" w:color="auto" w:sz="8" w:space="0"/>
              <w:right w:val="single" w:color="auto" w:sz="8" w:space="0"/>
            </w:tcBorders>
            <w:vAlign w:val="center"/>
          </w:tcPr>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序号</w:t>
            </w:r>
          </w:p>
        </w:tc>
        <w:tc>
          <w:tcPr>
            <w:tcW w:w="1333"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提交材料名称</w:t>
            </w:r>
          </w:p>
        </w:tc>
        <w:tc>
          <w:tcPr>
            <w:tcW w:w="1843"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jc w:val="center"/>
              <w:rPr>
                <w:rFonts w:ascii="仿宋_GB2312" w:hAnsi="仿宋_GB2312" w:eastAsia="宋体" w:cs="宋体"/>
                <w:b/>
                <w:bCs/>
                <w:color w:val="auto"/>
                <w:kern w:val="0"/>
                <w:sz w:val="24"/>
              </w:rPr>
            </w:pPr>
            <w:r>
              <w:rPr>
                <w:rFonts w:hint="eastAsia" w:ascii="仿宋_GB2312" w:hAnsi="仿宋_GB2312" w:eastAsia="宋体" w:cs="宋体"/>
                <w:b/>
                <w:bCs/>
                <w:color w:val="auto"/>
                <w:kern w:val="0"/>
                <w:sz w:val="24"/>
              </w:rPr>
              <w:t>基础</w:t>
            </w:r>
          </w:p>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分值（100）</w:t>
            </w:r>
          </w:p>
        </w:tc>
        <w:tc>
          <w:tcPr>
            <w:tcW w:w="355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谈判细则</w:t>
            </w:r>
          </w:p>
        </w:tc>
        <w:tc>
          <w:tcPr>
            <w:tcW w:w="837"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企业</w:t>
            </w:r>
          </w:p>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得分</w:t>
            </w:r>
          </w:p>
        </w:tc>
        <w:tc>
          <w:tcPr>
            <w:tcW w:w="628" w:type="dxa"/>
            <w:tcBorders>
              <w:top w:val="single" w:color="auto" w:sz="8" w:space="0"/>
              <w:left w:val="single" w:color="auto" w:sz="8" w:space="0"/>
              <w:bottom w:val="single" w:color="auto" w:sz="8" w:space="0"/>
              <w:right w:val="single" w:color="auto" w:sz="12" w:space="0"/>
            </w:tcBorders>
            <w:vAlign w:val="center"/>
          </w:tcPr>
          <w:p>
            <w:pPr>
              <w:widowControl/>
              <w:jc w:val="center"/>
              <w:rPr>
                <w:rFonts w:ascii="仿宋_GB2312" w:hAnsi="仿宋_GB2312" w:eastAsia="宋体" w:cs="宋体"/>
                <w:b/>
                <w:bCs/>
                <w:color w:val="000000" w:themeColor="text1"/>
                <w:kern w:val="0"/>
                <w:sz w:val="24"/>
                <w14:textFill>
                  <w14:solidFill>
                    <w14:schemeClr w14:val="tx1"/>
                  </w14:solidFill>
                </w14:textFill>
              </w:rPr>
            </w:pPr>
            <w:r>
              <w:rPr>
                <w:rFonts w:hint="eastAsia" w:ascii="仿宋_GB2312" w:hAnsi="仿宋_GB2312" w:eastAsia="宋体" w:cs="宋体"/>
                <w:b/>
                <w:bCs/>
                <w:color w:val="000000" w:themeColor="text1"/>
                <w:kern w:val="0"/>
                <w:sz w:val="24"/>
                <w14:textFill>
                  <w14:solidFill>
                    <w14:schemeClr w14:val="tx1"/>
                  </w14:solidFill>
                </w14:textFill>
              </w:rPr>
              <w:t>其他</w:t>
            </w:r>
          </w:p>
        </w:tc>
      </w:tr>
      <w:tr>
        <w:tblPrEx>
          <w:tblCellMar>
            <w:top w:w="0" w:type="dxa"/>
            <w:left w:w="108" w:type="dxa"/>
            <w:bottom w:w="0" w:type="dxa"/>
            <w:right w:w="108" w:type="dxa"/>
          </w:tblCellMar>
        </w:tblPrEx>
        <w:trPr>
          <w:trHeight w:val="1398" w:hRule="atLeast"/>
        </w:trPr>
        <w:tc>
          <w:tcPr>
            <w:tcW w:w="585" w:type="dxa"/>
            <w:tcBorders>
              <w:top w:val="single" w:color="auto" w:sz="8" w:space="0"/>
              <w:left w:val="single" w:color="auto" w:sz="12"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1</w:t>
            </w:r>
          </w:p>
        </w:tc>
        <w:tc>
          <w:tcPr>
            <w:tcW w:w="1333" w:type="dxa"/>
            <w:tcBorders>
              <w:top w:val="single" w:color="auto" w:sz="8" w:space="0"/>
              <w:left w:val="single" w:color="auto" w:sz="8"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企业业绩</w:t>
            </w:r>
          </w:p>
        </w:tc>
        <w:tc>
          <w:tcPr>
            <w:tcW w:w="1843"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5</w:t>
            </w:r>
          </w:p>
        </w:tc>
        <w:tc>
          <w:tcPr>
            <w:tcW w:w="3554" w:type="dxa"/>
            <w:tcBorders>
              <w:top w:val="single" w:color="auto" w:sz="8" w:space="0"/>
              <w:left w:val="single" w:color="auto" w:sz="8" w:space="0"/>
              <w:bottom w:val="single" w:color="auto" w:sz="8" w:space="0"/>
              <w:right w:val="single" w:color="auto" w:sz="8" w:space="0"/>
            </w:tcBorders>
            <w:vAlign w:val="center"/>
          </w:tcPr>
          <w:p>
            <w:pPr>
              <w:widowControl/>
              <w:spacing w:line="560" w:lineRule="exact"/>
              <w:jc w:val="left"/>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企业在国内具有新能源并建成、运营的装机容量至少达到200万千瓦（联合体参与的，其中一户企业应达到此项要求）。</w:t>
            </w:r>
            <w:r>
              <w:rPr>
                <w:rFonts w:hint="eastAsia" w:ascii="仿宋_GB2312" w:hAnsi="仿宋_GB2312" w:eastAsia="仿宋" w:cs="Times New Roman"/>
                <w:color w:val="auto"/>
                <w:kern w:val="0"/>
                <w:sz w:val="28"/>
                <w:szCs w:val="28"/>
              </w:rPr>
              <w:t>此项满足得5分，此项不满足得0分。</w:t>
            </w:r>
          </w:p>
        </w:tc>
        <w:tc>
          <w:tcPr>
            <w:tcW w:w="837"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c>
          <w:tcPr>
            <w:tcW w:w="628" w:type="dxa"/>
            <w:tcBorders>
              <w:top w:val="single" w:color="auto" w:sz="8" w:space="0"/>
              <w:left w:val="single" w:color="auto" w:sz="8" w:space="0"/>
              <w:bottom w:val="single" w:color="auto" w:sz="8" w:space="0"/>
              <w:right w:val="single" w:color="auto" w:sz="12"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561" w:hRule="atLeast"/>
        </w:trPr>
        <w:tc>
          <w:tcPr>
            <w:tcW w:w="585" w:type="dxa"/>
            <w:tcBorders>
              <w:top w:val="single" w:color="auto" w:sz="8" w:space="0"/>
              <w:left w:val="single" w:color="auto" w:sz="12"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2</w:t>
            </w:r>
          </w:p>
        </w:tc>
        <w:tc>
          <w:tcPr>
            <w:tcW w:w="1333" w:type="dxa"/>
            <w:tcBorders>
              <w:top w:val="single" w:color="auto" w:sz="8" w:space="0"/>
              <w:left w:val="single" w:color="auto" w:sz="8"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企业投融资能力</w:t>
            </w:r>
          </w:p>
        </w:tc>
        <w:tc>
          <w:tcPr>
            <w:tcW w:w="1843"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5</w:t>
            </w:r>
          </w:p>
        </w:tc>
        <w:tc>
          <w:tcPr>
            <w:tcW w:w="3554"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left"/>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金融机构授信或银行存款2亿，得5分。</w:t>
            </w:r>
            <w:r>
              <w:rPr>
                <w:rFonts w:hint="eastAsia" w:ascii="仿宋_GB2312" w:hAnsi="仿宋_GB2312" w:eastAsia="仿宋" w:cs="Times New Roman"/>
                <w:color w:val="auto"/>
                <w:kern w:val="0"/>
                <w:sz w:val="28"/>
                <w:szCs w:val="28"/>
              </w:rPr>
              <w:t>此项满足得5分，此项不满足得0分。</w:t>
            </w:r>
          </w:p>
        </w:tc>
        <w:tc>
          <w:tcPr>
            <w:tcW w:w="837"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c>
          <w:tcPr>
            <w:tcW w:w="628" w:type="dxa"/>
            <w:tcBorders>
              <w:top w:val="single" w:color="auto" w:sz="8" w:space="0"/>
              <w:left w:val="single" w:color="auto" w:sz="8" w:space="0"/>
              <w:bottom w:val="single" w:color="auto" w:sz="8" w:space="0"/>
              <w:right w:val="single" w:color="auto" w:sz="12"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14" w:hRule="atLeast"/>
        </w:trPr>
        <w:tc>
          <w:tcPr>
            <w:tcW w:w="585" w:type="dxa"/>
            <w:tcBorders>
              <w:top w:val="single" w:color="auto" w:sz="8" w:space="0"/>
              <w:left w:val="single" w:color="auto" w:sz="12"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3</w:t>
            </w:r>
          </w:p>
        </w:tc>
        <w:tc>
          <w:tcPr>
            <w:tcW w:w="1333" w:type="dxa"/>
            <w:tcBorders>
              <w:top w:val="single" w:color="auto" w:sz="8" w:space="0"/>
              <w:left w:val="single" w:color="auto" w:sz="8"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配套多产业融合发展的能力及带动地方国有企业发展的能力</w:t>
            </w:r>
          </w:p>
        </w:tc>
        <w:tc>
          <w:tcPr>
            <w:tcW w:w="1843"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25</w:t>
            </w:r>
          </w:p>
        </w:tc>
        <w:tc>
          <w:tcPr>
            <w:tcW w:w="3554"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left"/>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①有橄榄树种植及加工有深厚技术支持为重要条件。</w:t>
            </w:r>
          </w:p>
          <w:p>
            <w:pPr>
              <w:widowControl/>
              <w:spacing w:line="560" w:lineRule="exact"/>
              <w:jc w:val="left"/>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②承接橄榄基地土地租金及后期运营费用，后期橄榄基地收益的30%分成给县国投公司</w:t>
            </w:r>
            <w:r>
              <w:rPr>
                <w:rFonts w:hint="eastAsia" w:ascii="仿宋_GB2312" w:hAnsi="仿宋_GB2312" w:eastAsia="仿宋" w:cs="Times New Roman"/>
                <w:color w:val="auto"/>
                <w:kern w:val="0"/>
                <w:sz w:val="28"/>
                <w:szCs w:val="28"/>
              </w:rPr>
              <w:t>（①②项满足得25分，①②项不满足得0分）。收益每增加1%，加2分（递增幅度要求为1%的整数倍）</w:t>
            </w:r>
          </w:p>
        </w:tc>
        <w:tc>
          <w:tcPr>
            <w:tcW w:w="837"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c>
          <w:tcPr>
            <w:tcW w:w="628" w:type="dxa"/>
            <w:tcBorders>
              <w:top w:val="single" w:color="auto" w:sz="8" w:space="0"/>
              <w:left w:val="single" w:color="auto" w:sz="8" w:space="0"/>
              <w:bottom w:val="single" w:color="auto" w:sz="8" w:space="0"/>
              <w:right w:val="single" w:color="auto" w:sz="12"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4800" w:hRule="atLeast"/>
        </w:trPr>
        <w:tc>
          <w:tcPr>
            <w:tcW w:w="585" w:type="dxa"/>
            <w:tcBorders>
              <w:top w:val="single" w:color="auto" w:sz="8" w:space="0"/>
              <w:left w:val="single" w:color="auto" w:sz="12"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4</w:t>
            </w:r>
          </w:p>
        </w:tc>
        <w:tc>
          <w:tcPr>
            <w:tcW w:w="1333" w:type="dxa"/>
            <w:tcBorders>
              <w:top w:val="single" w:color="auto" w:sz="8" w:space="0"/>
              <w:left w:val="single" w:color="auto" w:sz="8"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对企业支持能力及幅度</w:t>
            </w:r>
          </w:p>
        </w:tc>
        <w:tc>
          <w:tcPr>
            <w:tcW w:w="1843"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25</w:t>
            </w:r>
          </w:p>
        </w:tc>
        <w:tc>
          <w:tcPr>
            <w:tcW w:w="3554"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left"/>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食用菌基地采取预付光伏项目开发分成收益3000万，</w:t>
            </w:r>
            <w:r>
              <w:rPr>
                <w:rFonts w:hint="eastAsia" w:ascii="仿宋_GB2312" w:hAnsi="仿宋_GB2312" w:eastAsia="仿宋" w:cs="Times New Roman"/>
                <w:color w:val="auto"/>
                <w:kern w:val="0"/>
                <w:sz w:val="28"/>
                <w:szCs w:val="28"/>
              </w:rPr>
              <w:t>（此项满足得25分，此项不满足得0分）</w:t>
            </w:r>
            <w:r>
              <w:rPr>
                <w:rFonts w:hint="eastAsia" w:ascii="仿宋_GB2312" w:hAnsi="仿宋_GB2312" w:eastAsia="仿宋" w:cs="Times New Roman"/>
                <w:color w:val="000000" w:themeColor="text1"/>
                <w:kern w:val="0"/>
                <w:sz w:val="28"/>
                <w:szCs w:val="28"/>
                <w14:textFill>
                  <w14:solidFill>
                    <w14:schemeClr w14:val="tx1"/>
                  </w14:solidFill>
                </w14:textFill>
              </w:rPr>
              <w:t>（此预付收益在本项目建成后的分成收益中扣回），每增加100万预付分成收益，加2分，上不封顶。</w:t>
            </w:r>
            <w:r>
              <w:rPr>
                <w:rFonts w:hint="eastAsia" w:ascii="仿宋_GB2312" w:hAnsi="仿宋_GB2312" w:eastAsia="仿宋" w:cs="Times New Roman"/>
                <w:color w:val="auto"/>
                <w:kern w:val="0"/>
                <w:sz w:val="28"/>
                <w:szCs w:val="28"/>
              </w:rPr>
              <w:t>（递增幅度要求为100万的整数倍）（预付分成收益金额以最终中选单位报价为准，预付时间为合同签订后30日内）</w:t>
            </w:r>
          </w:p>
        </w:tc>
        <w:tc>
          <w:tcPr>
            <w:tcW w:w="837"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400" w:lineRule="exact"/>
              <w:jc w:val="center"/>
              <w:rPr>
                <w:rFonts w:ascii="仿宋_GB2312" w:hAnsi="仿宋_GB2312" w:eastAsia="仿宋" w:cs="宋体"/>
                <w:color w:val="000000" w:themeColor="text1"/>
                <w:kern w:val="0"/>
                <w:sz w:val="28"/>
                <w:szCs w:val="28"/>
                <w14:textFill>
                  <w14:solidFill>
                    <w14:schemeClr w14:val="tx1"/>
                  </w14:solidFill>
                </w14:textFill>
              </w:rPr>
            </w:pPr>
          </w:p>
        </w:tc>
        <w:tc>
          <w:tcPr>
            <w:tcW w:w="628" w:type="dxa"/>
            <w:tcBorders>
              <w:top w:val="single" w:color="auto" w:sz="8" w:space="0"/>
              <w:left w:val="single" w:color="auto" w:sz="8" w:space="0"/>
              <w:bottom w:val="single" w:color="auto" w:sz="8" w:space="0"/>
              <w:right w:val="single" w:color="auto" w:sz="12"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r>
      <w:tr>
        <w:tblPrEx>
          <w:tblCellMar>
            <w:top w:w="0" w:type="dxa"/>
            <w:left w:w="108" w:type="dxa"/>
            <w:bottom w:w="0" w:type="dxa"/>
            <w:right w:w="108" w:type="dxa"/>
          </w:tblCellMar>
        </w:tblPrEx>
        <w:trPr>
          <w:trHeight w:val="14" w:hRule="atLeast"/>
        </w:trPr>
        <w:tc>
          <w:tcPr>
            <w:tcW w:w="585" w:type="dxa"/>
            <w:tcBorders>
              <w:top w:val="single" w:color="auto" w:sz="8" w:space="0"/>
              <w:left w:val="single" w:color="auto" w:sz="12"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5</w:t>
            </w:r>
          </w:p>
        </w:tc>
        <w:tc>
          <w:tcPr>
            <w:tcW w:w="1333" w:type="dxa"/>
            <w:tcBorders>
              <w:top w:val="single" w:color="auto" w:sz="8" w:space="0"/>
              <w:left w:val="single" w:color="auto" w:sz="8" w:space="0"/>
              <w:bottom w:val="single" w:color="auto" w:sz="8" w:space="0"/>
              <w:right w:val="single" w:color="auto" w:sz="8"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14:textFill>
                  <w14:solidFill>
                    <w14:schemeClr w14:val="tx1"/>
                  </w14:solidFill>
                </w14:textFill>
              </w:rPr>
              <w:t>项目开发的</w:t>
            </w:r>
            <w:r>
              <w:rPr>
                <w:rFonts w:hint="eastAsia" w:ascii="仿宋_GB2312" w:hAnsi="仿宋_GB2312" w:eastAsia="仿宋" w:cs="宋体"/>
                <w:color w:val="auto"/>
                <w:kern w:val="0"/>
                <w:sz w:val="28"/>
                <w:szCs w:val="28"/>
              </w:rPr>
              <w:t>前</w:t>
            </w:r>
            <w:r>
              <w:rPr>
                <w:rFonts w:hint="eastAsia" w:ascii="仿宋_GB2312" w:hAnsi="仿宋_GB2312" w:eastAsia="仿宋" w:cs="宋体"/>
                <w:color w:val="000000" w:themeColor="text1"/>
                <w:kern w:val="0"/>
                <w:sz w:val="28"/>
                <w:szCs w:val="28"/>
                <w14:textFill>
                  <w14:solidFill>
                    <w14:schemeClr w14:val="tx1"/>
                  </w14:solidFill>
                </w14:textFill>
              </w:rPr>
              <w:t>提条件</w:t>
            </w:r>
          </w:p>
        </w:tc>
        <w:tc>
          <w:tcPr>
            <w:tcW w:w="1843"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center"/>
              <w:rPr>
                <w:rFonts w:ascii="仿宋_GB2312" w:hAnsi="仿宋_GB2312" w:eastAsia="仿宋" w:cs="Times New Roman"/>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40</w:t>
            </w:r>
          </w:p>
        </w:tc>
        <w:tc>
          <w:tcPr>
            <w:tcW w:w="3554"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560" w:lineRule="exact"/>
              <w:jc w:val="left"/>
              <w:rPr>
                <w:rFonts w:ascii="仿宋_GB2312" w:hAnsi="仿宋_GB2312" w:eastAsia="仿宋" w:cs="Times New Roman"/>
                <w:color w:val="auto"/>
                <w:kern w:val="0"/>
                <w:sz w:val="28"/>
                <w:szCs w:val="28"/>
              </w:rPr>
            </w:pPr>
            <w:r>
              <w:rPr>
                <w:rFonts w:hint="eastAsia" w:ascii="仿宋_GB2312" w:hAnsi="仿宋_GB2312" w:eastAsia="仿宋" w:cs="Times New Roman"/>
                <w:color w:val="000000" w:themeColor="text1"/>
                <w:kern w:val="0"/>
                <w:sz w:val="28"/>
                <w:szCs w:val="28"/>
                <w14:textFill>
                  <w14:solidFill>
                    <w14:schemeClr w14:val="tx1"/>
                  </w14:solidFill>
                </w14:textFill>
              </w:rPr>
              <w:t>①橄榄基地光伏项目开发前提可向主体按发电费用0.005元/度分成的，</w:t>
            </w:r>
            <w:r>
              <w:rPr>
                <w:rFonts w:hint="eastAsia" w:ascii="仿宋_GB2312" w:hAnsi="仿宋_GB2312" w:eastAsia="仿宋" w:cs="Times New Roman"/>
                <w:color w:val="auto"/>
                <w:kern w:val="0"/>
                <w:sz w:val="28"/>
                <w:szCs w:val="28"/>
              </w:rPr>
              <w:t>此项满足得20分，此项不满足得0分。每增加0.001元/度，加2分，上不封顶。（递增幅度要求为0.001元/度的整数倍）</w:t>
            </w:r>
          </w:p>
          <w:p>
            <w:pPr>
              <w:widowControl/>
              <w:spacing w:line="560" w:lineRule="exact"/>
              <w:jc w:val="left"/>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Times New Roman"/>
                <w:color w:val="000000" w:themeColor="text1"/>
                <w:kern w:val="0"/>
                <w:sz w:val="28"/>
                <w:szCs w:val="28"/>
                <w14:textFill>
                  <w14:solidFill>
                    <w14:schemeClr w14:val="tx1"/>
                  </w14:solidFill>
                </w14:textFill>
              </w:rPr>
              <w:t>②食用菌基地光伏项目开发前提可向主体按发电费用0.01元/度分成的，</w:t>
            </w:r>
            <w:r>
              <w:rPr>
                <w:rFonts w:hint="eastAsia" w:ascii="仿宋_GB2312" w:hAnsi="仿宋_GB2312" w:eastAsia="仿宋" w:cs="Times New Roman"/>
                <w:color w:val="auto"/>
                <w:kern w:val="0"/>
                <w:sz w:val="28"/>
                <w:szCs w:val="28"/>
              </w:rPr>
              <w:t>此项满足得20分，此项不满足得0分。</w:t>
            </w:r>
            <w:r>
              <w:rPr>
                <w:rFonts w:hint="eastAsia" w:ascii="仿宋_GB2312" w:hAnsi="仿宋_GB2312" w:eastAsia="仿宋" w:cs="Times New Roman"/>
                <w:color w:val="000000" w:themeColor="text1"/>
                <w:kern w:val="0"/>
                <w:sz w:val="28"/>
                <w:szCs w:val="28"/>
                <w14:textFill>
                  <w14:solidFill>
                    <w14:schemeClr w14:val="tx1"/>
                  </w14:solidFill>
                </w14:textFill>
              </w:rPr>
              <w:t>每增加0.01元/度，加2分，上不封顶。</w:t>
            </w:r>
            <w:r>
              <w:rPr>
                <w:rFonts w:hint="eastAsia" w:ascii="仿宋_GB2312" w:hAnsi="仿宋_GB2312" w:eastAsia="仿宋" w:cs="Times New Roman"/>
                <w:color w:val="auto"/>
                <w:kern w:val="0"/>
                <w:sz w:val="28"/>
                <w:szCs w:val="28"/>
              </w:rPr>
              <w:t>（递增幅度要求为0.01元/度的整数倍）</w:t>
            </w:r>
          </w:p>
        </w:tc>
        <w:tc>
          <w:tcPr>
            <w:tcW w:w="837"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pPr>
              <w:widowControl/>
              <w:spacing w:line="400" w:lineRule="exact"/>
              <w:jc w:val="center"/>
              <w:rPr>
                <w:rFonts w:ascii="仿宋_GB2312" w:hAnsi="仿宋_GB2312" w:eastAsia="仿宋" w:cs="宋体"/>
                <w:color w:val="000000" w:themeColor="text1"/>
                <w:kern w:val="0"/>
                <w:sz w:val="28"/>
                <w:szCs w:val="28"/>
                <w14:textFill>
                  <w14:solidFill>
                    <w14:schemeClr w14:val="tx1"/>
                  </w14:solidFill>
                </w14:textFill>
              </w:rPr>
            </w:pPr>
          </w:p>
        </w:tc>
        <w:tc>
          <w:tcPr>
            <w:tcW w:w="628" w:type="dxa"/>
            <w:tcBorders>
              <w:top w:val="single" w:color="auto" w:sz="8" w:space="0"/>
              <w:left w:val="single" w:color="auto" w:sz="8" w:space="0"/>
              <w:bottom w:val="single" w:color="auto" w:sz="8" w:space="0"/>
              <w:right w:val="single" w:color="auto" w:sz="12" w:space="0"/>
            </w:tcBorders>
            <w:vAlign w:val="center"/>
          </w:tcPr>
          <w:p>
            <w:pPr>
              <w:widowControl/>
              <w:spacing w:line="560" w:lineRule="exact"/>
              <w:jc w:val="center"/>
              <w:rPr>
                <w:rFonts w:ascii="仿宋_GB2312" w:hAnsi="仿宋_GB2312" w:eastAsia="仿宋" w:cs="宋体"/>
                <w:color w:val="000000" w:themeColor="text1"/>
                <w:kern w:val="0"/>
                <w:sz w:val="28"/>
                <w:szCs w:val="28"/>
                <w14:textFill>
                  <w14:solidFill>
                    <w14:schemeClr w14:val="tx1"/>
                  </w14:solidFill>
                </w14:textFill>
              </w:rPr>
            </w:pPr>
          </w:p>
        </w:tc>
      </w:tr>
    </w:tbl>
    <w:p>
      <w:pPr>
        <w:spacing w:line="560" w:lineRule="exact"/>
        <w:ind w:firstLine="643" w:firstLineChars="200"/>
        <w:rPr>
          <w:rFonts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b/>
          <w:bCs/>
          <w:color w:val="000000" w:themeColor="text1"/>
          <w:kern w:val="0"/>
          <w:sz w:val="32"/>
          <w:szCs w:val="32"/>
          <w14:textFill>
            <w14:solidFill>
              <w14:schemeClr w14:val="tx1"/>
            </w14:solidFill>
          </w14:textFill>
        </w:rPr>
        <w:t>说明：</w:t>
      </w:r>
      <w:r>
        <w:rPr>
          <w:rFonts w:hint="eastAsia" w:ascii="仿宋_GB2312" w:hAnsi="仿宋_GB2312" w:eastAsia="仿宋" w:cs="宋体"/>
          <w:color w:val="000000" w:themeColor="text1"/>
          <w:kern w:val="0"/>
          <w:sz w:val="28"/>
          <w:szCs w:val="28"/>
          <w14:textFill>
            <w14:solidFill>
              <w14:schemeClr w14:val="tx1"/>
            </w14:solidFill>
          </w14:textFill>
        </w:rPr>
        <w:t>1.企业自行编制附件，随报名表一并提交。所有材料均需准备电子文挡一份和纸质书面文件两份。</w:t>
      </w:r>
    </w:p>
    <w:p>
      <w:pPr>
        <w:widowControl/>
        <w:numPr>
          <w:ilvl w:val="0"/>
          <w:numId w:val="0"/>
        </w:numPr>
        <w:shd w:val="clear" w:color="auto" w:fill="FFFFFF"/>
        <w:spacing w:line="560" w:lineRule="exact"/>
        <w:ind w:firstLine="1680" w:firstLineChars="600"/>
        <w:jc w:val="left"/>
        <w:rPr>
          <w:rFonts w:hint="eastAsia" w:ascii="仿宋_GB2312" w:hAnsi="仿宋_GB2312" w:eastAsia="仿宋" w:cs="宋体"/>
          <w:color w:val="000000" w:themeColor="text1"/>
          <w:kern w:val="0"/>
          <w:sz w:val="28"/>
          <w:szCs w:val="28"/>
          <w14:textFill>
            <w14:solidFill>
              <w14:schemeClr w14:val="tx1"/>
            </w14:solidFill>
          </w14:textFill>
        </w:rPr>
      </w:pPr>
      <w:r>
        <w:rPr>
          <w:rFonts w:hint="eastAsia" w:ascii="仿宋_GB2312" w:hAnsi="仿宋_GB2312" w:eastAsia="仿宋" w:cs="宋体"/>
          <w:color w:val="000000" w:themeColor="text1"/>
          <w:kern w:val="0"/>
          <w:sz w:val="28"/>
          <w:szCs w:val="28"/>
          <w:lang w:val="en-US" w:eastAsia="zh-CN"/>
          <w14:textFill>
            <w14:solidFill>
              <w14:schemeClr w14:val="tx1"/>
            </w14:solidFill>
          </w14:textFill>
        </w:rPr>
        <w:t>2.</w:t>
      </w:r>
      <w:r>
        <w:rPr>
          <w:rFonts w:hint="eastAsia" w:ascii="仿宋_GB2312" w:hAnsi="仿宋_GB2312" w:eastAsia="仿宋" w:cs="宋体"/>
          <w:color w:val="000000" w:themeColor="text1"/>
          <w:kern w:val="0"/>
          <w:sz w:val="28"/>
          <w:szCs w:val="28"/>
          <w14:textFill>
            <w14:solidFill>
              <w14:schemeClr w14:val="tx1"/>
            </w14:solidFill>
          </w14:textFill>
        </w:rPr>
        <w:t>基</w:t>
      </w:r>
      <w:r>
        <w:rPr>
          <w:rFonts w:hint="eastAsia" w:ascii="仿宋_GB2312" w:hAnsi="仿宋_GB2312" w:eastAsia="仿宋" w:cs="宋体"/>
          <w:color w:val="auto"/>
          <w:kern w:val="0"/>
          <w:sz w:val="28"/>
          <w:szCs w:val="28"/>
        </w:rPr>
        <w:t>础</w:t>
      </w:r>
      <w:r>
        <w:rPr>
          <w:rFonts w:hint="eastAsia" w:ascii="仿宋_GB2312" w:hAnsi="仿宋_GB2312" w:eastAsia="仿宋" w:cs="宋体"/>
          <w:color w:val="000000" w:themeColor="text1"/>
          <w:kern w:val="0"/>
          <w:sz w:val="28"/>
          <w:szCs w:val="28"/>
          <w14:textFill>
            <w14:solidFill>
              <w14:schemeClr w14:val="tx1"/>
            </w14:solidFill>
          </w14:textFill>
        </w:rPr>
        <w:t>分值100分。60分为入围合格，合格后最高分为中选企业。</w:t>
      </w:r>
    </w:p>
    <w:p>
      <w:pPr>
        <w:widowControl/>
        <w:numPr>
          <w:ilvl w:val="0"/>
          <w:numId w:val="0"/>
        </w:numPr>
        <w:shd w:val="clear" w:color="auto" w:fill="FFFFFF"/>
        <w:spacing w:line="560" w:lineRule="exact"/>
        <w:ind w:firstLine="1680" w:firstLineChars="600"/>
        <w:jc w:val="left"/>
        <w:rPr>
          <w:rFonts w:hint="default" w:ascii="仿宋_GB2312" w:hAnsi="仿宋_GB2312" w:eastAsia="仿宋" w:cs="宋体"/>
          <w:color w:val="auto"/>
          <w:kern w:val="0"/>
          <w:sz w:val="28"/>
          <w:szCs w:val="28"/>
          <w:lang w:val="en-US"/>
        </w:rPr>
      </w:pPr>
      <w:r>
        <w:rPr>
          <w:rFonts w:hint="eastAsia" w:ascii="仿宋_GB2312" w:hAnsi="仿宋_GB2312" w:eastAsia="仿宋" w:cs="宋体"/>
          <w:color w:val="auto"/>
          <w:kern w:val="0"/>
          <w:sz w:val="28"/>
          <w:szCs w:val="28"/>
          <w:lang w:val="en-US" w:eastAsia="zh-CN"/>
        </w:rPr>
        <w:t>3. 综合评分表报价均为含税价。</w:t>
      </w:r>
    </w:p>
    <w:p>
      <w:pPr>
        <w:rPr>
          <w:color w:val="C00000"/>
          <w:szCs w:val="22"/>
        </w:rPr>
      </w:pPr>
    </w:p>
    <w:p>
      <w:pPr>
        <w:widowControl/>
        <w:shd w:val="clear" w:color="auto" w:fill="FFFFFF"/>
        <w:spacing w:line="560" w:lineRule="exact"/>
        <w:jc w:val="center"/>
        <w:outlineLvl w:val="1"/>
        <w:rPr>
          <w:rFonts w:ascii="仿宋_GB2312" w:hAnsi="仿宋_GB2312" w:eastAsia="仿宋_GB2312" w:cs="仿宋_GB2312"/>
          <w:color w:val="C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26746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2024-01-22T02:43:48Z</dcterms:created>
  <dc:creator>Administrator</dc:creator>
  <cp:lastModifiedBy>微信用户</cp:lastModifiedBy>
  <dcterms:modified xsi:type="dcterms:W3CDTF">2024-01-22T02:44:07Z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1A68BD99398348F8B3E5438BA8CC6A64_12</vt:lpwstr>
  </property>
</Properties>
</file>